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Gikinawaabi: Observation as the Foundation of Learning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6753225</wp:posOffset>
            </wp:positionH>
            <wp:positionV relativeFrom="paragraph">
              <wp:posOffset>361950</wp:posOffset>
            </wp:positionV>
            <wp:extent cx="1343025" cy="1039156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3915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200025</wp:posOffset>
            </wp:positionH>
            <wp:positionV relativeFrom="paragraph">
              <wp:posOffset>333375</wp:posOffset>
            </wp:positionV>
            <wp:extent cx="1228725" cy="1084483"/>
            <wp:effectExtent b="0" l="0" r="0" t="0"/>
            <wp:wrapNone/>
            <wp:docPr descr="Spirituality-Medicine-Wheel-copy.gif" id="4" name="image1.gif"/>
            <a:graphic>
              <a:graphicData uri="http://schemas.openxmlformats.org/drawingml/2006/picture">
                <pic:pic>
                  <pic:nvPicPr>
                    <pic:cNvPr descr="Spirituality-Medicine-Wheel-copy.gif" id="0" name="image1.gif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844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Early Learning Supplementary Curriculum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44"/>
          <w:szCs w:val="4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Inter-Tribal Council of Michigan</w:t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067D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067DF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aBfluoIyVkZDKVjFpsXX9s/Izw==">AMUW2mUiNpRHZEykKeCfqzaiy9A9OTHqZAyW0jJDyzKe5eWLuY8aoEIBj2WMN650yrlSFeots591D20M0Z6hLGNC4YHulh5rrCRq6c+xlqzwnufpwRfDzntE8H16ORsHJnqlqkpkajKJ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2020-09-30T14:15:00Z</dcterms:created>
  <dc:creator>Courtney CP. Pasek</dc:creator>
</cp:coreProperties>
</file>