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8 (Nshwaaswi): Drawing the Medicine Wheel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5911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1304925</wp:posOffset>
            </wp:positionV>
            <wp:extent cx="5943600" cy="169545"/>
            <wp:effectExtent b="0" l="0" r="0" t="0"/>
            <wp:wrapNone/>
            <wp:docPr descr="C:\Users\labramson\AppData\Local\Microsoft\Windows\Temporary Internet Files\Content.Outlook\B6UCJ487\Border1.bmp" id="2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Outlook\B6UCJ487\Border1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Dot-to-Dot Sheets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elp the child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connect the dots using a writing tool of their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can choose any color they wish.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Maybe one from the Medicine Wheel or their favorite color.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They can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olor in the picture when it is completed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if they choose too.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Help the child hold the writing tool if needed.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 counting to each number as they connect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i7nmmdtamj4a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child’s lines don’t have to be perfect!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ocus on the positives they are doing during the activity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(see how to hold a pencil/crayon tip sheet if needed).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activity helps them with their counting and with holding a writing utensil.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55869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4F1D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VNpMvyCirCoNTS/M2kmGw+E1g==">AMUW2mX+JbGtc0Ite52lE5LaUcuL//S+YFGCtPv5+4Kq52TKBLz/IguVE0uulDjvQ21MUM+5McOe2C7KW5V9KR/nE3wCLdiSJY4hU24Q39Spc5L82XtFLEw+JVwmwmYAqeckjeRYknO8xWISua/4YMGnWRy09ySELA==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2020-08-13T14:03:00Z</dcterms:created>
  <dc:creator>Courtney CP. Pasek</dc:creator>
</cp:coreProperties>
</file>